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B8" w:rsidRPr="00D80052" w:rsidRDefault="00D80052">
      <w:pPr>
        <w:shd w:val="clear" w:color="auto" w:fill="FFFFFF"/>
        <w:jc w:val="center"/>
        <w:rPr>
          <w:rFonts w:ascii="Times New Roman" w:eastAsia="sans-serif" w:hAnsi="Times New Roman" w:cs="Times New Roman"/>
          <w:b/>
          <w:color w:val="181818"/>
          <w:sz w:val="24"/>
          <w:szCs w:val="24"/>
          <w:lang w:val="ru-RU"/>
        </w:rPr>
      </w:pPr>
      <w:bookmarkStart w:id="0" w:name="_GoBack"/>
      <w:bookmarkEnd w:id="0"/>
      <w:r w:rsidRPr="00D80052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" w:bidi="ar"/>
        </w:rPr>
        <w:t xml:space="preserve">Применение действующих УМК в условиях введения обновленных ФГОС, примерных рабочих программ. </w:t>
      </w:r>
    </w:p>
    <w:p w:rsidR="005A51B8" w:rsidRPr="00D80052" w:rsidRDefault="00D80052">
      <w:pPr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1. Требования ФГОС 2021 детализированы в методическом документе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примерные рабочие программы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 учебники из федерального перечня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информационные и учебные ресурсы образовательной организации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контрольно-измерительные материалы для государственной итоговой аттестации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2. По годам обучения в примерных рабочих программах представлены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предметные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2. </w:t>
      </w:r>
      <w:proofErr w:type="spellStart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метапредметные</w:t>
      </w:r>
      <w:proofErr w:type="spellEnd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содержание образования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личностные результаты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1,3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3. Основные виды деятельности обучающихся в примерной рабочей программе представлены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в разделе «Тематическое планирование»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 отдельным разделом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в пояснительной записке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в разделе «Планируемые результаты изучения учебного предмета»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4. Для учителя ориентиром при составлении рабочих программ выступает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примерная рабочая программа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 ФГОС НОО/ООО 2021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предметные концепции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Закон «Об образовании»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5. Примерная рабочая программа является методическим ориентиром для учителя, поскольку она позволяет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разрабатывать контрольно-измерительные материалы для независимых диагностик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2. реализовывать подходы к достижению личностных, </w:t>
      </w:r>
      <w:proofErr w:type="spellStart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метапредметных</w:t>
      </w:r>
      <w:proofErr w:type="spellEnd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, предметных результатов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разрабатывать календарно-тематическое планирование</w:t>
      </w:r>
    </w:p>
    <w:p w:rsidR="005A51B8" w:rsidRPr="00D80052" w:rsidRDefault="001C72AB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4. </w:t>
      </w:r>
      <w:r w:rsidR="00D80052"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проектировать систему учебных задач для освоения учебного материала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2,3,4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6. Перечень предметных и </w:t>
      </w:r>
      <w:proofErr w:type="spellStart"/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метапредметных</w:t>
      </w:r>
      <w:proofErr w:type="spellEnd"/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 результатов примерных рабочих программ является основанием для разработки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lastRenderedPageBreak/>
        <w:t>1. системы учебных задач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 тематического планирования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содержания учебного предмета по годам обучения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календарного планирования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7. Единица учебной деятельности – это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практический вопрос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 теоретический материал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учебная задача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новое понятие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3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8. Для разработки учебных задач/заданий по конкретной теме надо обратиться к следующим разделам примерной рабочей программы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    предметные образовательные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2.     </w:t>
      </w:r>
      <w:proofErr w:type="spellStart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метапредметные</w:t>
      </w:r>
      <w:proofErr w:type="spellEnd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образовательные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3.    </w:t>
      </w:r>
      <w:r w:rsidR="001C72AB"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личностные образовательные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      тематическое планирование</w:t>
      </w:r>
    </w:p>
    <w:p w:rsidR="005A51B8" w:rsidRPr="001C72AB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5.      </w:t>
      </w:r>
      <w:r w:rsidR="001C72AB"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пояснительная записка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1,2,3,4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9. На уроке организации проектной деятельности целесообразно применять формы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     индивидуальную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     фронтальную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      групповую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       внеурочную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3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10. Формирование универсальных учебных познавательных действий планируется по отношению к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    базовым логическим действиям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     осуществлению совместной деятельности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3.     </w:t>
      </w:r>
      <w:r w:rsidR="001C72AB"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базовым исследовательским действиям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     работе с информацией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</w:t>
      </w:r>
    </w:p>
    <w:p w:rsidR="005A51B8" w:rsidRPr="00D80052" w:rsidRDefault="005A51B8">
      <w:pPr>
        <w:rPr>
          <w:rFonts w:ascii="Times New Roman" w:hAnsi="Times New Roman" w:cs="Times New Roman"/>
          <w:sz w:val="24"/>
          <w:szCs w:val="24"/>
        </w:rPr>
      </w:pPr>
    </w:p>
    <w:sectPr w:rsidR="005A51B8" w:rsidRPr="00D80052" w:rsidSect="001C72AB">
      <w:pgSz w:w="11906" w:h="16838"/>
      <w:pgMar w:top="144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06073D"/>
    <w:rsid w:val="001C72AB"/>
    <w:rsid w:val="005A51B8"/>
    <w:rsid w:val="009E0336"/>
    <w:rsid w:val="00D80052"/>
    <w:rsid w:val="14A40384"/>
    <w:rsid w:val="1B1B1265"/>
    <w:rsid w:val="64F504F0"/>
    <w:rsid w:val="790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BA2291-5FAE-49DB-A264-3C747270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Терехова</dc:creator>
  <cp:lastModifiedBy>Эвелина Геннадьевна</cp:lastModifiedBy>
  <cp:revision>2</cp:revision>
  <dcterms:created xsi:type="dcterms:W3CDTF">2023-10-20T03:14:00Z</dcterms:created>
  <dcterms:modified xsi:type="dcterms:W3CDTF">2023-10-20T03:14:00Z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1223F12D596D4991A929FAFF982A063D</vt:lpwstr>
  </property>
</Properties>
</file>